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764.999999999999" w:tblpY="4.1015625"/>
        <w:tblW w:w="10539.0" w:type="dxa"/>
        <w:jc w:val="left"/>
        <w:tblInd w:w="-77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55"/>
        <w:gridCol w:w="7650"/>
        <w:gridCol w:w="2334.0000000000005"/>
        <w:tblGridChange w:id="0">
          <w:tblGrid>
            <w:gridCol w:w="555"/>
            <w:gridCol w:w="7650"/>
            <w:gridCol w:w="2334.0000000000005"/>
          </w:tblGrid>
        </w:tblGridChange>
      </w:tblGrid>
      <w:tr>
        <w:trPr>
          <w:cantSplit w:val="0"/>
          <w:trHeight w:val="2730" w:hRule="atLeast"/>
          <w:tblHeader w:val="0"/>
        </w:trPr>
        <w:tc>
          <w:tcPr>
            <w:shd w:fill="ffffff" w:val="clear"/>
          </w:tcPr>
          <w:p w:rsidR="00000000" w:rsidDel="00000000" w:rsidP="00000000" w:rsidRDefault="00000000" w:rsidRPr="00000000" w14:paraId="00000002">
            <w:pPr>
              <w:jc w:val="center"/>
              <w:rPr>
                <w:b w:val="1"/>
              </w:rPr>
            </w:pPr>
            <w:r w:rsidDel="00000000" w:rsidR="00000000" w:rsidRPr="00000000">
              <w:rPr>
                <w:b w:val="1"/>
                <w:rtl w:val="0"/>
              </w:rPr>
              <w:t xml:space="preserve">A</w:t>
            </w:r>
          </w:p>
        </w:tc>
        <w:tc>
          <w:tcPr>
            <w:shd w:fill="ffffff" w:val="clear"/>
          </w:tcPr>
          <w:p w:rsidR="00000000" w:rsidDel="00000000" w:rsidP="00000000" w:rsidRDefault="00000000" w:rsidRPr="00000000" w14:paraId="00000003">
            <w:pPr>
              <w:widowControl w:val="0"/>
              <w:rPr>
                <w:b w:val="1"/>
                <w:color w:val="010000"/>
                <w:u w:val="single"/>
              </w:rPr>
            </w:pPr>
            <w:r w:rsidDel="00000000" w:rsidR="00000000" w:rsidRPr="00000000">
              <w:rPr>
                <w:color w:val="010000"/>
                <w:rtl w:val="0"/>
              </w:rPr>
              <w:t xml:space="preserve"> </w:t>
            </w:r>
            <w:r w:rsidDel="00000000" w:rsidR="00000000" w:rsidRPr="00000000">
              <w:rPr>
                <w:b w:val="1"/>
                <w:color w:val="010000"/>
                <w:u w:val="single"/>
                <w:rtl w:val="0"/>
              </w:rPr>
              <w:t xml:space="preserve">Key Concepts</w:t>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numPr>
                <w:ilvl w:val="0"/>
                <w:numId w:val="4"/>
              </w:numPr>
              <w:ind w:left="360"/>
              <w:jc w:val="both"/>
              <w:rPr>
                <w:rFonts w:ascii="Calibri" w:cs="Calibri" w:eastAsia="Calibri" w:hAnsi="Calibri"/>
              </w:rPr>
            </w:pPr>
            <w:bookmarkStart w:colFirst="0" w:colLast="0" w:name="_gjdgxs" w:id="0"/>
            <w:bookmarkEnd w:id="0"/>
            <w:r w:rsidDel="00000000" w:rsidR="00000000" w:rsidRPr="00000000">
              <w:rPr>
                <w:rtl w:val="0"/>
              </w:rPr>
              <w:t xml:space="preserve">In order to understand this section, we must review the historical background first.</w:t>
            </w:r>
          </w:p>
          <w:p w:rsidR="00000000" w:rsidDel="00000000" w:rsidP="00000000" w:rsidRDefault="00000000" w:rsidRPr="00000000" w14:paraId="00000006">
            <w:pPr>
              <w:widowControl w:val="0"/>
              <w:jc w:val="both"/>
              <w:rPr/>
            </w:pPr>
            <w:bookmarkStart w:colFirst="0" w:colLast="0" w:name="_9nwxpen993xk" w:id="1"/>
            <w:bookmarkEnd w:id="1"/>
            <w:r w:rsidDel="00000000" w:rsidR="00000000" w:rsidRPr="00000000">
              <w:rPr>
                <w:rtl w:val="0"/>
              </w:rPr>
            </w:r>
          </w:p>
          <w:p w:rsidR="00000000" w:rsidDel="00000000" w:rsidP="00000000" w:rsidRDefault="00000000" w:rsidRPr="00000000" w14:paraId="00000007">
            <w:pPr>
              <w:widowControl w:val="0"/>
              <w:numPr>
                <w:ilvl w:val="0"/>
                <w:numId w:val="4"/>
              </w:numPr>
              <w:ind w:left="360"/>
              <w:jc w:val="both"/>
              <w:rPr>
                <w:u w:val="none"/>
              </w:rPr>
            </w:pPr>
            <w:bookmarkStart w:colFirst="0" w:colLast="0" w:name="_bz0y73e92faq" w:id="2"/>
            <w:bookmarkEnd w:id="2"/>
            <w:r w:rsidDel="00000000" w:rsidR="00000000" w:rsidRPr="00000000">
              <w:rPr>
                <w:rtl w:val="0"/>
              </w:rPr>
              <w:t xml:space="preserve">Chapters 4 through 24 reveal God’s harsh words of judgement against Israel and Jerusalem; like a journey through an endless forest, hikers can get glimpses of light and hope.  Judgement is a call to repentance.</w:t>
            </w:r>
          </w:p>
          <w:p w:rsidR="00000000" w:rsidDel="00000000" w:rsidP="00000000" w:rsidRDefault="00000000" w:rsidRPr="00000000" w14:paraId="00000008">
            <w:pPr>
              <w:widowControl w:val="0"/>
              <w:jc w:val="both"/>
              <w:rPr/>
            </w:pPr>
            <w:bookmarkStart w:colFirst="0" w:colLast="0" w:name="_nlj0kqmfs9vv" w:id="3"/>
            <w:bookmarkEnd w:id="3"/>
            <w:r w:rsidDel="00000000" w:rsidR="00000000" w:rsidRPr="00000000">
              <w:rPr>
                <w:rtl w:val="0"/>
              </w:rPr>
            </w:r>
          </w:p>
          <w:p w:rsidR="00000000" w:rsidDel="00000000" w:rsidP="00000000" w:rsidRDefault="00000000" w:rsidRPr="00000000" w14:paraId="00000009">
            <w:pPr>
              <w:widowControl w:val="0"/>
              <w:numPr>
                <w:ilvl w:val="0"/>
                <w:numId w:val="4"/>
              </w:numPr>
              <w:ind w:left="360"/>
              <w:jc w:val="both"/>
              <w:rPr>
                <w:u w:val="none"/>
              </w:rPr>
            </w:pPr>
            <w:bookmarkStart w:colFirst="0" w:colLast="0" w:name="_dkr03asw2t34" w:id="4"/>
            <w:bookmarkEnd w:id="4"/>
            <w:r w:rsidDel="00000000" w:rsidR="00000000" w:rsidRPr="00000000">
              <w:rPr>
                <w:rtl w:val="0"/>
              </w:rPr>
              <w:t xml:space="preserve">Since Israel and Jerusalem are seen as the microcosm of the entire world and humanity, the words of judgement can be interpreted as an anticipation  of God’s judgement of the world.  Just as Ezekiel is called to warn Israel, so are we called to warn this generation of the terror and urgency of the final judgement.  </w:t>
            </w:r>
          </w:p>
          <w:p w:rsidR="00000000" w:rsidDel="00000000" w:rsidP="00000000" w:rsidRDefault="00000000" w:rsidRPr="00000000" w14:paraId="0000000A">
            <w:pPr>
              <w:widowControl w:val="0"/>
              <w:jc w:val="both"/>
              <w:rPr/>
            </w:pPr>
            <w:bookmarkStart w:colFirst="0" w:colLast="0" w:name="_bej9tt7oouxi" w:id="5"/>
            <w:bookmarkEnd w:id="5"/>
            <w:r w:rsidDel="00000000" w:rsidR="00000000" w:rsidRPr="00000000">
              <w:rPr>
                <w:rtl w:val="0"/>
              </w:rPr>
            </w:r>
          </w:p>
          <w:p w:rsidR="00000000" w:rsidDel="00000000" w:rsidP="00000000" w:rsidRDefault="00000000" w:rsidRPr="00000000" w14:paraId="0000000B">
            <w:pPr>
              <w:widowControl w:val="0"/>
              <w:numPr>
                <w:ilvl w:val="0"/>
                <w:numId w:val="4"/>
              </w:numPr>
              <w:ind w:left="360"/>
              <w:jc w:val="both"/>
              <w:rPr>
                <w:u w:val="none"/>
              </w:rPr>
            </w:pPr>
            <w:bookmarkStart w:colFirst="0" w:colLast="0" w:name="_709ysiy8n6at" w:id="6"/>
            <w:bookmarkEnd w:id="6"/>
            <w:r w:rsidDel="00000000" w:rsidR="00000000" w:rsidRPr="00000000">
              <w:rPr>
                <w:rtl w:val="0"/>
              </w:rPr>
              <w:t xml:space="preserve">The statements of blessings and curses follow the structure of God’s covenant with Israel and can be found in Lev 26 and Deut 28-30.  The first part states what will happen if the people follow the Lord and keep his commandments.  The second part narrates the curses if Israel disobeys his commandments.  The third part describes what is needed for restoration: if the people repent and return to the Lord.</w:t>
            </w:r>
          </w:p>
        </w:tc>
        <w:tc>
          <w:tcPr>
            <w:shd w:fill="ffffff" w:val="clear"/>
          </w:tcPr>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2025-27 BSP 1C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CCSS pp 23, 54</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CCSS p 27, Mt 24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CCSS p 67, Lv 26:3-13</w:t>
            </w:r>
          </w:p>
          <w:p w:rsidR="00000000" w:rsidDel="00000000" w:rsidP="00000000" w:rsidRDefault="00000000" w:rsidRPr="00000000" w14:paraId="0000001C">
            <w:pPr>
              <w:rPr/>
            </w:pPr>
            <w:r w:rsidDel="00000000" w:rsidR="00000000" w:rsidRPr="00000000">
              <w:rPr>
                <w:rtl w:val="0"/>
              </w:rPr>
              <w:t xml:space="preserve">Dt 28:1-14; Lv 26:14-39, Dt 28:15 - 29:29; Lv 26:40-45, Dt 30:1-20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F">
            <w:pPr>
              <w:jc w:val="center"/>
              <w:rPr>
                <w:b w:val="1"/>
              </w:rPr>
            </w:pPr>
            <w:r w:rsidDel="00000000" w:rsidR="00000000" w:rsidRPr="00000000">
              <w:rPr>
                <w:b w:val="1"/>
                <w:rtl w:val="0"/>
              </w:rPr>
              <w:t xml:space="preserve">B</w:t>
            </w:r>
          </w:p>
        </w:tc>
        <w:tc>
          <w:tcPr>
            <w:shd w:fill="ffffff" w:val="clear"/>
          </w:tcPr>
          <w:p w:rsidR="00000000" w:rsidDel="00000000" w:rsidP="00000000" w:rsidRDefault="00000000" w:rsidRPr="00000000" w14:paraId="00000020">
            <w:pPr>
              <w:rPr>
                <w:b w:val="1"/>
                <w:u w:val="single"/>
              </w:rPr>
            </w:pPr>
            <w:r w:rsidDel="00000000" w:rsidR="00000000" w:rsidRPr="00000000">
              <w:rPr>
                <w:b w:val="1"/>
                <w:u w:val="single"/>
                <w:rtl w:val="0"/>
              </w:rPr>
              <w:t xml:space="preserve">Dramatizing the Fall of Jerusalem with Four Prophetic Actions</w:t>
            </w:r>
          </w:p>
          <w:p w:rsidR="00000000" w:rsidDel="00000000" w:rsidP="00000000" w:rsidRDefault="00000000" w:rsidRPr="00000000" w14:paraId="00000021">
            <w:pPr>
              <w:widowControl w:val="0"/>
              <w:ind w:left="72" w:firstLine="0"/>
              <w:jc w:val="both"/>
              <w:rPr/>
            </w:pPr>
            <w:r w:rsidDel="00000000" w:rsidR="00000000" w:rsidRPr="00000000">
              <w:rPr>
                <w:rtl w:val="0"/>
              </w:rPr>
            </w:r>
          </w:p>
          <w:p w:rsidR="00000000" w:rsidDel="00000000" w:rsidP="00000000" w:rsidRDefault="00000000" w:rsidRPr="00000000" w14:paraId="00000022">
            <w:pPr>
              <w:widowControl w:val="0"/>
              <w:numPr>
                <w:ilvl w:val="0"/>
                <w:numId w:val="3"/>
              </w:numPr>
              <w:shd w:fill="ffffff" w:val="clear"/>
              <w:ind w:left="432" w:hanging="360"/>
              <w:jc w:val="both"/>
              <w:rPr>
                <w:rFonts w:ascii="Calibri" w:cs="Calibri" w:eastAsia="Calibri" w:hAnsi="Calibri"/>
                <w:color w:val="010000"/>
              </w:rPr>
            </w:pPr>
            <w:r w:rsidDel="00000000" w:rsidR="00000000" w:rsidRPr="00000000">
              <w:rPr>
                <w:color w:val="010000"/>
                <w:rtl w:val="0"/>
              </w:rPr>
              <w:t xml:space="preserve">The brick wall portrays the siege of Jerusalem by Babylon. “Iron plate”; “set your face toward it” =&gt; symbolizes God’s own determined judgement against the city, a wall set up between the Lord and his people.</w:t>
            </w:r>
          </w:p>
          <w:p w:rsidR="00000000" w:rsidDel="00000000" w:rsidP="00000000" w:rsidRDefault="00000000" w:rsidRPr="00000000" w14:paraId="00000023">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24">
            <w:pPr>
              <w:widowControl w:val="0"/>
              <w:numPr>
                <w:ilvl w:val="0"/>
                <w:numId w:val="3"/>
              </w:numPr>
              <w:shd w:fill="ffffff" w:val="clear"/>
              <w:ind w:left="432" w:hanging="360"/>
              <w:jc w:val="both"/>
              <w:rPr>
                <w:color w:val="010000"/>
              </w:rPr>
            </w:pPr>
            <w:r w:rsidDel="00000000" w:rsidR="00000000" w:rsidRPr="00000000">
              <w:rPr>
                <w:color w:val="010000"/>
                <w:rtl w:val="0"/>
              </w:rPr>
              <w:t xml:space="preserve">Lying down upon the “left side” for 390 days to bear the punishment of the house of Israel, then lying down upon the “right side” for 40 days to bear the punishment of the house of Judah. </w:t>
            </w:r>
          </w:p>
          <w:p w:rsidR="00000000" w:rsidDel="00000000" w:rsidP="00000000" w:rsidRDefault="00000000" w:rsidRPr="00000000" w14:paraId="00000025">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26">
            <w:pPr>
              <w:widowControl w:val="0"/>
              <w:numPr>
                <w:ilvl w:val="0"/>
                <w:numId w:val="3"/>
              </w:numPr>
              <w:shd w:fill="ffffff" w:val="clear"/>
              <w:ind w:left="432" w:hanging="360"/>
              <w:jc w:val="both"/>
              <w:rPr>
                <w:color w:val="010000"/>
                <w:u w:val="none"/>
              </w:rPr>
            </w:pPr>
            <w:r w:rsidDel="00000000" w:rsidR="00000000" w:rsidRPr="00000000">
              <w:rPr>
                <w:color w:val="010000"/>
                <w:rtl w:val="0"/>
              </w:rPr>
              <w:t xml:space="preserve">A mixture of ingredients is combined to make bread due to shortages; even water intake is limited.  These are indeed famine rations.  Using cow dung for cooking =&gt; the bread is unclean according to the law.  This fulfills the punishment according to the law.</w:t>
            </w:r>
          </w:p>
          <w:p w:rsidR="00000000" w:rsidDel="00000000" w:rsidP="00000000" w:rsidRDefault="00000000" w:rsidRPr="00000000" w14:paraId="00000027">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28">
            <w:pPr>
              <w:widowControl w:val="0"/>
              <w:numPr>
                <w:ilvl w:val="0"/>
                <w:numId w:val="3"/>
              </w:numPr>
              <w:shd w:fill="ffffff" w:val="clear"/>
              <w:ind w:left="432" w:hanging="360"/>
              <w:jc w:val="both"/>
              <w:rPr>
                <w:color w:val="010000"/>
                <w:u w:val="none"/>
              </w:rPr>
            </w:pPr>
            <w:r w:rsidDel="00000000" w:rsidR="00000000" w:rsidRPr="00000000">
              <w:rPr>
                <w:color w:val="010000"/>
                <w:rtl w:val="0"/>
              </w:rPr>
              <w:t xml:space="preserve">Symbolism of shaving one’s head and beard: For a priest, shaving one’s hair and beard is a sign of desecration; shameful and mournful.  This foretells Israel’s pain of humiliation.  “A third will die within the city by famine and plague; the second third, struck with the sword, and the final third, scattered to the wind”.  Even “the small number of hairs … shall perish in the fire” until all of Israel have faced judgement.  </w:t>
            </w:r>
          </w:p>
        </w:tc>
        <w:tc>
          <w:tcPr>
            <w:shd w:fill="ffffff" w:val="clear"/>
          </w:tcPr>
          <w:p w:rsidR="00000000" w:rsidDel="00000000" w:rsidP="00000000" w:rsidRDefault="00000000" w:rsidRPr="00000000" w14:paraId="00000029">
            <w:pPr>
              <w:rPr/>
            </w:pPr>
            <w:r w:rsidDel="00000000" w:rsidR="00000000" w:rsidRPr="00000000">
              <w:rPr>
                <w:rtl w:val="0"/>
              </w:rPr>
              <w:t xml:space="preserve">4:1 - 5:4</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4:1-3, 5:5-8, CCSS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4:4-8 CCSS, Lv 10:17,</w:t>
            </w:r>
          </w:p>
          <w:p w:rsidR="00000000" w:rsidDel="00000000" w:rsidP="00000000" w:rsidRDefault="00000000" w:rsidRPr="00000000" w14:paraId="00000031">
            <w:pPr>
              <w:rPr/>
            </w:pPr>
            <w:r w:rsidDel="00000000" w:rsidR="00000000" w:rsidRPr="00000000">
              <w:rPr>
                <w:rtl w:val="0"/>
              </w:rPr>
              <w:t xml:space="preserve">Is 53</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4:9-17, 5:9-10 CCSS</w:t>
            </w:r>
          </w:p>
          <w:p w:rsidR="00000000" w:rsidDel="00000000" w:rsidP="00000000" w:rsidRDefault="00000000" w:rsidRPr="00000000" w14:paraId="00000035">
            <w:pPr>
              <w:rPr/>
            </w:pPr>
            <w:r w:rsidDel="00000000" w:rsidR="00000000" w:rsidRPr="00000000">
              <w:rPr>
                <w:rtl w:val="0"/>
              </w:rPr>
              <w:t xml:space="preserve">Lv 276:14-39</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5:1-4, 11-17 CCSS</w:t>
            </w:r>
          </w:p>
          <w:p w:rsidR="00000000" w:rsidDel="00000000" w:rsidP="00000000" w:rsidRDefault="00000000" w:rsidRPr="00000000" w14:paraId="0000003A">
            <w:pPr>
              <w:rPr/>
            </w:pPr>
            <w:r w:rsidDel="00000000" w:rsidR="00000000" w:rsidRPr="00000000">
              <w:rPr>
                <w:rtl w:val="0"/>
              </w:rPr>
              <w:t xml:space="preserve">Lv 21:5, 2Sam 10:4, </w:t>
            </w:r>
          </w:p>
          <w:p w:rsidR="00000000" w:rsidDel="00000000" w:rsidP="00000000" w:rsidRDefault="00000000" w:rsidRPr="00000000" w14:paraId="0000003B">
            <w:pPr>
              <w:rPr/>
            </w:pPr>
            <w:r w:rsidDel="00000000" w:rsidR="00000000" w:rsidRPr="00000000">
              <w:rPr>
                <w:rtl w:val="0"/>
              </w:rPr>
              <w:t xml:space="preserve">Is 15:2</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r>
      <w:tr>
        <w:trPr>
          <w:cantSplit w:val="0"/>
          <w:trHeight w:val="2739.7500000000014" w:hRule="atLeast"/>
          <w:tblHeader w:val="0"/>
        </w:trPr>
        <w:tc>
          <w:tcPr>
            <w:shd w:fill="auto" w:val="clear"/>
          </w:tcPr>
          <w:p w:rsidR="00000000" w:rsidDel="00000000" w:rsidP="00000000" w:rsidRDefault="00000000" w:rsidRPr="00000000" w14:paraId="00000040">
            <w:pPr>
              <w:jc w:val="center"/>
              <w:rPr>
                <w:b w:val="1"/>
              </w:rPr>
            </w:pPr>
            <w:r w:rsidDel="00000000" w:rsidR="00000000" w:rsidRPr="00000000">
              <w:rPr>
                <w:b w:val="1"/>
                <w:rtl w:val="0"/>
              </w:rPr>
              <w:t xml:space="preserve">C</w:t>
            </w:r>
          </w:p>
        </w:tc>
        <w:tc>
          <w:tcPr>
            <w:shd w:fill="auto" w:val="clear"/>
          </w:tcPr>
          <w:p w:rsidR="00000000" w:rsidDel="00000000" w:rsidP="00000000" w:rsidRDefault="00000000" w:rsidRPr="00000000" w14:paraId="00000041">
            <w:pPr>
              <w:widowControl w:val="0"/>
              <w:jc w:val="both"/>
              <w:rPr>
                <w:b w:val="1"/>
                <w:u w:val="single"/>
              </w:rPr>
            </w:pPr>
            <w:r w:rsidDel="00000000" w:rsidR="00000000" w:rsidRPr="00000000">
              <w:rPr>
                <w:b w:val="1"/>
                <w:u w:val="single"/>
                <w:rtl w:val="0"/>
              </w:rPr>
              <w:t xml:space="preserve">Indictment of Jerusalem</w:t>
            </w:r>
          </w:p>
          <w:p w:rsidR="00000000" w:rsidDel="00000000" w:rsidP="00000000" w:rsidRDefault="00000000" w:rsidRPr="00000000" w14:paraId="00000042">
            <w:pPr>
              <w:widowControl w:val="0"/>
              <w:jc w:val="both"/>
              <w:rPr/>
            </w:pPr>
            <w:r w:rsidDel="00000000" w:rsidR="00000000" w:rsidRPr="00000000">
              <w:rPr>
                <w:rtl w:val="0"/>
              </w:rPr>
            </w:r>
          </w:p>
          <w:p w:rsidR="00000000" w:rsidDel="00000000" w:rsidP="00000000" w:rsidRDefault="00000000" w:rsidRPr="00000000" w14:paraId="00000043">
            <w:pPr>
              <w:widowControl w:val="0"/>
              <w:numPr>
                <w:ilvl w:val="0"/>
                <w:numId w:val="5"/>
              </w:numPr>
              <w:ind w:left="360"/>
              <w:jc w:val="both"/>
              <w:rPr>
                <w:rFonts w:ascii="Calibri" w:cs="Calibri" w:eastAsia="Calibri" w:hAnsi="Calibri"/>
              </w:rPr>
            </w:pPr>
            <w:r w:rsidDel="00000000" w:rsidR="00000000" w:rsidRPr="00000000">
              <w:rPr>
                <w:rtl w:val="0"/>
              </w:rPr>
              <w:t xml:space="preserve">In the remainder of chapter 5, the Lord interprets Ezekiel’s four prophetic actions (as previously explained). “Fathers shall eat their sons … and sons shall eat their fathers”, fulfilling what was predicted in the covenant curses. </w:t>
            </w:r>
          </w:p>
          <w:p w:rsidR="00000000" w:rsidDel="00000000" w:rsidP="00000000" w:rsidRDefault="00000000" w:rsidRPr="00000000" w14:paraId="00000044">
            <w:pPr>
              <w:widowControl w:val="0"/>
              <w:jc w:val="both"/>
              <w:rPr/>
            </w:pPr>
            <w:r w:rsidDel="00000000" w:rsidR="00000000" w:rsidRPr="00000000">
              <w:rPr>
                <w:rtl w:val="0"/>
              </w:rPr>
            </w:r>
          </w:p>
          <w:p w:rsidR="00000000" w:rsidDel="00000000" w:rsidP="00000000" w:rsidRDefault="00000000" w:rsidRPr="00000000" w14:paraId="00000045">
            <w:pPr>
              <w:widowControl w:val="0"/>
              <w:numPr>
                <w:ilvl w:val="0"/>
                <w:numId w:val="5"/>
              </w:numPr>
              <w:ind w:left="360"/>
              <w:jc w:val="both"/>
              <w:rPr>
                <w:u w:val="none"/>
              </w:rPr>
            </w:pPr>
            <w:r w:rsidDel="00000000" w:rsidR="00000000" w:rsidRPr="00000000">
              <w:rPr>
                <w:rtl w:val="0"/>
              </w:rPr>
              <w:t xml:space="preserve">God displays his anger, fury, and jealousy so that, “they shall know that I am the Lord”.  In other words, the people will come to recognize the truth and justice of what the Lord has said and done when he brings their due punishment upon them.</w:t>
            </w:r>
          </w:p>
          <w:p w:rsidR="00000000" w:rsidDel="00000000" w:rsidP="00000000" w:rsidRDefault="00000000" w:rsidRPr="00000000" w14:paraId="00000046">
            <w:pPr>
              <w:widowControl w:val="0"/>
              <w:jc w:val="both"/>
              <w:rPr/>
            </w:pPr>
            <w:r w:rsidDel="00000000" w:rsidR="00000000" w:rsidRPr="00000000">
              <w:rPr>
                <w:rtl w:val="0"/>
              </w:rPr>
            </w:r>
          </w:p>
          <w:p w:rsidR="00000000" w:rsidDel="00000000" w:rsidP="00000000" w:rsidRDefault="00000000" w:rsidRPr="00000000" w14:paraId="00000047">
            <w:pPr>
              <w:widowControl w:val="0"/>
              <w:numPr>
                <w:ilvl w:val="0"/>
                <w:numId w:val="5"/>
              </w:numPr>
              <w:ind w:left="360"/>
              <w:jc w:val="both"/>
              <w:rPr>
                <w:u w:val="none"/>
              </w:rPr>
            </w:pPr>
            <w:r w:rsidDel="00000000" w:rsidR="00000000" w:rsidRPr="00000000">
              <w:rPr>
                <w:rtl w:val="0"/>
              </w:rPr>
              <w:t xml:space="preserve">God forces the Israelites to obey his will; if they disobey, they will be harshly punished.  What is the difference between God and a dictator?  The God portrayed by Ezekiel (and throughout the Old Testament) is a God of wrath and anger, how does that differ from the portrayal in the New Testament?</w:t>
            </w:r>
          </w:p>
        </w:tc>
        <w:tc>
          <w:tcPr>
            <w:shd w:fill="auto" w:val="clear"/>
          </w:tcPr>
          <w:p w:rsidR="00000000" w:rsidDel="00000000" w:rsidP="00000000" w:rsidRDefault="00000000" w:rsidRPr="00000000" w14:paraId="00000048">
            <w:pPr>
              <w:rPr/>
            </w:pPr>
            <w:r w:rsidDel="00000000" w:rsidR="00000000" w:rsidRPr="00000000">
              <w:rPr>
                <w:rtl w:val="0"/>
              </w:rPr>
              <w:t xml:space="preserve">5:5-17</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Dt 28:53-57,</w:t>
            </w:r>
          </w:p>
          <w:p w:rsidR="00000000" w:rsidDel="00000000" w:rsidP="00000000" w:rsidRDefault="00000000" w:rsidRPr="00000000" w14:paraId="0000004B">
            <w:pPr>
              <w:rPr/>
            </w:pPr>
            <w:r w:rsidDel="00000000" w:rsidR="00000000" w:rsidRPr="00000000">
              <w:rPr>
                <w:rtl w:val="0"/>
              </w:rPr>
              <w:t xml:space="preserve">Lv 26:29</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CCSS p 62</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CCSS pp 62-64;</w:t>
            </w:r>
          </w:p>
          <w:p w:rsidR="00000000" w:rsidDel="00000000" w:rsidP="00000000" w:rsidRDefault="00000000" w:rsidRPr="00000000" w14:paraId="00000055">
            <w:pPr>
              <w:rPr/>
            </w:pPr>
            <w:r w:rsidDel="00000000" w:rsidR="00000000" w:rsidRPr="00000000">
              <w:rPr>
                <w:rtl w:val="0"/>
              </w:rPr>
              <w:t xml:space="preserve">18:23, 32, 34:11-16</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c>
      </w:tr>
      <w:tr>
        <w:trPr>
          <w:cantSplit w:val="0"/>
          <w:trHeight w:val="1935" w:hRule="atLeast"/>
          <w:tblHeader w:val="0"/>
        </w:trPr>
        <w:tc>
          <w:tcPr>
            <w:shd w:fill="auto" w:val="clear"/>
          </w:tcPr>
          <w:p w:rsidR="00000000" w:rsidDel="00000000" w:rsidP="00000000" w:rsidRDefault="00000000" w:rsidRPr="00000000" w14:paraId="0000005A">
            <w:pPr>
              <w:jc w:val="center"/>
              <w:rPr>
                <w:b w:val="1"/>
              </w:rPr>
            </w:pPr>
            <w:r w:rsidDel="00000000" w:rsidR="00000000" w:rsidRPr="00000000">
              <w:rPr>
                <w:b w:val="1"/>
                <w:rtl w:val="0"/>
              </w:rPr>
              <w:t xml:space="preserve">D</w:t>
            </w:r>
          </w:p>
        </w:tc>
        <w:tc>
          <w:tcPr>
            <w:shd w:fill="auto" w:val="clear"/>
          </w:tcPr>
          <w:p w:rsidR="00000000" w:rsidDel="00000000" w:rsidP="00000000" w:rsidRDefault="00000000" w:rsidRPr="00000000" w14:paraId="0000005B">
            <w:pPr>
              <w:widowControl w:val="0"/>
              <w:jc w:val="both"/>
              <w:rPr>
                <w:b w:val="1"/>
                <w:u w:val="single"/>
              </w:rPr>
            </w:pPr>
            <w:r w:rsidDel="00000000" w:rsidR="00000000" w:rsidRPr="00000000">
              <w:rPr>
                <w:b w:val="1"/>
                <w:u w:val="single"/>
                <w:rtl w:val="0"/>
              </w:rPr>
              <w:t xml:space="preserve">Judgement Against the Mountains, the Hills, the Ravines and the Valleys</w:t>
            </w:r>
          </w:p>
          <w:p w:rsidR="00000000" w:rsidDel="00000000" w:rsidP="00000000" w:rsidRDefault="00000000" w:rsidRPr="00000000" w14:paraId="0000005C">
            <w:pPr>
              <w:widowControl w:val="0"/>
              <w:ind w:left="72" w:firstLine="0"/>
              <w:jc w:val="both"/>
              <w:rPr/>
            </w:pPr>
            <w:r w:rsidDel="00000000" w:rsidR="00000000" w:rsidRPr="00000000">
              <w:rPr>
                <w:rtl w:val="0"/>
              </w:rPr>
            </w:r>
          </w:p>
          <w:p w:rsidR="00000000" w:rsidDel="00000000" w:rsidP="00000000" w:rsidRDefault="00000000" w:rsidRPr="00000000" w14:paraId="0000005D">
            <w:pPr>
              <w:widowControl w:val="0"/>
              <w:numPr>
                <w:ilvl w:val="0"/>
                <w:numId w:val="3"/>
              </w:numPr>
              <w:shd w:fill="ffffff" w:val="clear"/>
              <w:ind w:left="432" w:hanging="360"/>
              <w:jc w:val="both"/>
              <w:rPr>
                <w:rFonts w:ascii="Calibri" w:cs="Calibri" w:eastAsia="Calibri" w:hAnsi="Calibri"/>
                <w:color w:val="010000"/>
              </w:rPr>
            </w:pPr>
            <w:r w:rsidDel="00000000" w:rsidR="00000000" w:rsidRPr="00000000">
              <w:rPr>
                <w:color w:val="010000"/>
                <w:rtl w:val="0"/>
              </w:rPr>
              <w:t xml:space="preserve">Here, Ezekiel directs his words of judgement to the mountains of Israel: the mountains, the hills, the ravines and the valleys; places where the Israelites had practised idolatry.  This anticipates that the punishment to come is according to the covenant.  </w:t>
            </w:r>
          </w:p>
          <w:p w:rsidR="00000000" w:rsidDel="00000000" w:rsidP="00000000" w:rsidRDefault="00000000" w:rsidRPr="00000000" w14:paraId="0000005E">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5F">
            <w:pPr>
              <w:widowControl w:val="0"/>
              <w:numPr>
                <w:ilvl w:val="0"/>
                <w:numId w:val="3"/>
              </w:numPr>
              <w:shd w:fill="ffffff" w:val="clear"/>
              <w:ind w:left="432" w:hanging="360"/>
              <w:jc w:val="both"/>
              <w:rPr>
                <w:color w:val="010000"/>
              </w:rPr>
            </w:pPr>
            <w:r w:rsidDel="00000000" w:rsidR="00000000" w:rsidRPr="00000000">
              <w:rPr>
                <w:color w:val="010000"/>
                <w:rtl w:val="0"/>
              </w:rPr>
              <w:t xml:space="preserve">“... and you shall know that I am the Lord” - the Lord’s aim is not simply to dispense punishment, but by means of punishment to lead his people to repentance.</w:t>
            </w:r>
          </w:p>
          <w:p w:rsidR="00000000" w:rsidDel="00000000" w:rsidP="00000000" w:rsidRDefault="00000000" w:rsidRPr="00000000" w14:paraId="00000060">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61">
            <w:pPr>
              <w:widowControl w:val="0"/>
              <w:numPr>
                <w:ilvl w:val="0"/>
                <w:numId w:val="3"/>
              </w:numPr>
              <w:shd w:fill="ffffff" w:val="clear"/>
              <w:ind w:left="432" w:hanging="360"/>
              <w:jc w:val="both"/>
              <w:rPr>
                <w:color w:val="010000"/>
                <w:u w:val="none"/>
              </w:rPr>
            </w:pPr>
            <w:r w:rsidDel="00000000" w:rsidR="00000000" w:rsidRPr="00000000">
              <w:rPr>
                <w:color w:val="010000"/>
                <w:rtl w:val="0"/>
              </w:rPr>
              <w:t xml:space="preserve">“... when I have broken their wanton heart which has departed from me” - This is the first time in Ezekiel where the language of marriage is used to describe the relationship between God and Israel.  More will come later; this is a major theme in this book and the entire Bible.</w:t>
            </w:r>
          </w:p>
          <w:p w:rsidR="00000000" w:rsidDel="00000000" w:rsidP="00000000" w:rsidRDefault="00000000" w:rsidRPr="00000000" w14:paraId="00000062">
            <w:pPr>
              <w:widowControl w:val="0"/>
              <w:shd w:fill="ffffff" w:val="clear"/>
              <w:jc w:val="both"/>
              <w:rPr>
                <w:color w:val="010000"/>
              </w:rPr>
            </w:pPr>
            <w:r w:rsidDel="00000000" w:rsidR="00000000" w:rsidRPr="00000000">
              <w:rPr>
                <w:rtl w:val="0"/>
              </w:rPr>
            </w:r>
          </w:p>
          <w:p w:rsidR="00000000" w:rsidDel="00000000" w:rsidP="00000000" w:rsidRDefault="00000000" w:rsidRPr="00000000" w14:paraId="00000063">
            <w:pPr>
              <w:widowControl w:val="0"/>
              <w:numPr>
                <w:ilvl w:val="0"/>
                <w:numId w:val="3"/>
              </w:numPr>
              <w:shd w:fill="ffffff" w:val="clear"/>
              <w:ind w:left="432" w:hanging="360"/>
              <w:jc w:val="both"/>
              <w:rPr>
                <w:color w:val="010000"/>
                <w:u w:val="none"/>
              </w:rPr>
            </w:pPr>
            <w:r w:rsidDel="00000000" w:rsidR="00000000" w:rsidRPr="00000000">
              <w:rPr>
                <w:color w:val="010000"/>
                <w:rtl w:val="0"/>
              </w:rPr>
              <w:t xml:space="preserve">“And I will stretch out my hand against them … from the wilderness to Riblah” - the site of execution of the chief leaders of Israel in the revolt against Babylon.</w:t>
            </w:r>
          </w:p>
        </w:tc>
        <w:tc>
          <w:tcPr>
            <w:shd w:fill="auto" w:val="clear"/>
          </w:tcPr>
          <w:p w:rsidR="00000000" w:rsidDel="00000000" w:rsidP="00000000" w:rsidRDefault="00000000" w:rsidRPr="00000000" w14:paraId="00000064">
            <w:pPr>
              <w:rPr/>
            </w:pPr>
            <w:r w:rsidDel="00000000" w:rsidR="00000000" w:rsidRPr="00000000">
              <w:rPr>
                <w:rtl w:val="0"/>
              </w:rPr>
              <w:t xml:space="preserve">6:1-14</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CCSS p 66. Notes A4</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CCSS 6:7, 19, 13, 14</w:t>
            </w:r>
          </w:p>
          <w:p w:rsidR="00000000" w:rsidDel="00000000" w:rsidP="00000000" w:rsidRDefault="00000000" w:rsidRPr="00000000" w14:paraId="0000006C">
            <w:pPr>
              <w:rPr/>
            </w:pPr>
            <w:r w:rsidDel="00000000" w:rsidR="00000000" w:rsidRPr="00000000">
              <w:rPr>
                <w:rtl w:val="0"/>
              </w:rPr>
              <w:t xml:space="preserve">Dt 30:1 , 3</w:t>
            </w:r>
          </w:p>
          <w:p w:rsidR="00000000" w:rsidDel="00000000" w:rsidP="00000000" w:rsidRDefault="00000000" w:rsidRPr="00000000" w14:paraId="0000006D">
            <w:pPr>
              <w:rPr/>
            </w:pPr>
            <w:r w:rsidDel="00000000" w:rsidR="00000000" w:rsidRPr="00000000">
              <w:rPr>
                <w:rtl w:val="0"/>
              </w:rPr>
              <w:t xml:space="preserve">Heb 12:5-6</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CCSS 6:9</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CCSS 6:14</w:t>
            </w:r>
          </w:p>
          <w:p w:rsidR="00000000" w:rsidDel="00000000" w:rsidP="00000000" w:rsidRDefault="00000000" w:rsidRPr="00000000" w14:paraId="00000075">
            <w:pPr>
              <w:rPr/>
            </w:pPr>
            <w:r w:rsidDel="00000000" w:rsidR="00000000" w:rsidRPr="00000000">
              <w:rPr>
                <w:rtl w:val="0"/>
              </w:rPr>
              <w:t xml:space="preserve">2Kg 25:6 , 21</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tc>
      </w:tr>
      <w:tr>
        <w:trPr>
          <w:cantSplit w:val="0"/>
          <w:trHeight w:val="1935" w:hRule="atLeast"/>
          <w:tblHeader w:val="0"/>
        </w:trPr>
        <w:tc>
          <w:tcPr>
            <w:shd w:fill="auto" w:val="clear"/>
          </w:tcPr>
          <w:p w:rsidR="00000000" w:rsidDel="00000000" w:rsidP="00000000" w:rsidRDefault="00000000" w:rsidRPr="00000000" w14:paraId="00000078">
            <w:pPr>
              <w:jc w:val="center"/>
              <w:rPr>
                <w:b w:val="1"/>
              </w:rPr>
            </w:pPr>
            <w:r w:rsidDel="00000000" w:rsidR="00000000" w:rsidRPr="00000000">
              <w:rPr>
                <w:b w:val="1"/>
                <w:rtl w:val="0"/>
              </w:rPr>
              <w:t xml:space="preserve">E</w:t>
            </w:r>
          </w:p>
        </w:tc>
        <w:tc>
          <w:tcPr>
            <w:shd w:fill="auto" w:val="clear"/>
          </w:tcPr>
          <w:p w:rsidR="00000000" w:rsidDel="00000000" w:rsidP="00000000" w:rsidRDefault="00000000" w:rsidRPr="00000000" w14:paraId="00000079">
            <w:pPr>
              <w:widowControl w:val="0"/>
              <w:jc w:val="both"/>
              <w:rPr>
                <w:b w:val="1"/>
                <w:u w:val="single"/>
              </w:rPr>
            </w:pPr>
            <w:r w:rsidDel="00000000" w:rsidR="00000000" w:rsidRPr="00000000">
              <w:rPr>
                <w:b w:val="1"/>
                <w:u w:val="single"/>
                <w:rtl w:val="0"/>
              </w:rPr>
              <w:t xml:space="preserve">The End has Come; the Day of Disaster is Near</w:t>
            </w:r>
          </w:p>
          <w:p w:rsidR="00000000" w:rsidDel="00000000" w:rsidP="00000000" w:rsidRDefault="00000000" w:rsidRPr="00000000" w14:paraId="0000007A">
            <w:pPr>
              <w:widowControl w:val="0"/>
              <w:jc w:val="both"/>
              <w:rPr>
                <w:b w:val="1"/>
                <w:u w:val="single"/>
              </w:rPr>
            </w:pPr>
            <w:r w:rsidDel="00000000" w:rsidR="00000000" w:rsidRPr="00000000">
              <w:rPr>
                <w:rtl w:val="0"/>
              </w:rPr>
            </w:r>
          </w:p>
          <w:p w:rsidR="00000000" w:rsidDel="00000000" w:rsidP="00000000" w:rsidRDefault="00000000" w:rsidRPr="00000000" w14:paraId="0000007B">
            <w:pPr>
              <w:widowControl w:val="0"/>
              <w:numPr>
                <w:ilvl w:val="0"/>
                <w:numId w:val="5"/>
              </w:numPr>
              <w:ind w:left="360"/>
              <w:jc w:val="both"/>
              <w:rPr>
                <w:rFonts w:ascii="Calibri" w:cs="Calibri" w:eastAsia="Calibri" w:hAnsi="Calibri"/>
              </w:rPr>
            </w:pPr>
            <w:r w:rsidDel="00000000" w:rsidR="00000000" w:rsidRPr="00000000">
              <w:rPr>
                <w:rtl w:val="0"/>
              </w:rPr>
              <w:t xml:space="preserve">In this chapter, Ezekiel faithfully fulfills his role as watchman for Israel.  His message is full of alarm, of staccato-like sayings declaring that judgement is about to fall on the entire land of Israel.   </w:t>
            </w:r>
          </w:p>
          <w:p w:rsidR="00000000" w:rsidDel="00000000" w:rsidP="00000000" w:rsidRDefault="00000000" w:rsidRPr="00000000" w14:paraId="0000007C">
            <w:pPr>
              <w:widowControl w:val="0"/>
              <w:jc w:val="both"/>
              <w:rPr/>
            </w:pPr>
            <w:r w:rsidDel="00000000" w:rsidR="00000000" w:rsidRPr="00000000">
              <w:rPr>
                <w:rtl w:val="0"/>
              </w:rPr>
            </w:r>
          </w:p>
          <w:p w:rsidR="00000000" w:rsidDel="00000000" w:rsidP="00000000" w:rsidRDefault="00000000" w:rsidRPr="00000000" w14:paraId="0000007D">
            <w:pPr>
              <w:widowControl w:val="0"/>
              <w:numPr>
                <w:ilvl w:val="0"/>
                <w:numId w:val="5"/>
              </w:numPr>
              <w:ind w:left="360"/>
              <w:jc w:val="both"/>
            </w:pPr>
            <w:r w:rsidDel="00000000" w:rsidR="00000000" w:rsidRPr="00000000">
              <w:rPr>
                <w:rtl w:val="0"/>
              </w:rPr>
              <w:t xml:space="preserve">“The end has come … I will … judge you according to your ways … [I] will not spare you”, “Behold, the day! Behold, it comes!  Your doom has come” - the terrifying end of the fall of Judah and destruction of the Temple.  This is also interpreted as judgement day when the world will be judged and punished.</w:t>
            </w:r>
          </w:p>
          <w:p w:rsidR="00000000" w:rsidDel="00000000" w:rsidP="00000000" w:rsidRDefault="00000000" w:rsidRPr="00000000" w14:paraId="0000007E">
            <w:pPr>
              <w:widowControl w:val="0"/>
              <w:jc w:val="both"/>
              <w:rPr/>
            </w:pPr>
            <w:r w:rsidDel="00000000" w:rsidR="00000000" w:rsidRPr="00000000">
              <w:rPr>
                <w:rtl w:val="0"/>
              </w:rPr>
            </w:r>
          </w:p>
          <w:p w:rsidR="00000000" w:rsidDel="00000000" w:rsidP="00000000" w:rsidRDefault="00000000" w:rsidRPr="00000000" w14:paraId="0000007F">
            <w:pPr>
              <w:widowControl w:val="0"/>
              <w:numPr>
                <w:ilvl w:val="0"/>
                <w:numId w:val="5"/>
              </w:numPr>
              <w:ind w:left="360"/>
              <w:jc w:val="both"/>
            </w:pPr>
            <w:r w:rsidDel="00000000" w:rsidR="00000000" w:rsidRPr="00000000">
              <w:rPr>
                <w:rtl w:val="0"/>
              </w:rPr>
              <w:t xml:space="preserve">“The time has come … let not the buyer rejoice, nor the seller mourn, for the wrath is upon all their multitude” - for Ezekiel, because the day of the Lord’s judgement is at hand, buying and selling (and rejoicing and mourning) will not be necessary and soon come to an end.  Paul, alluding to Ezekiel’s prophecy, teaches that living in a world that is transient and fading, Christians must resist desiring for wealth and fame of the world. </w:t>
            </w:r>
          </w:p>
          <w:p w:rsidR="00000000" w:rsidDel="00000000" w:rsidP="00000000" w:rsidRDefault="00000000" w:rsidRPr="00000000" w14:paraId="00000080">
            <w:pPr>
              <w:widowControl w:val="0"/>
              <w:jc w:val="both"/>
              <w:rPr/>
            </w:pPr>
            <w:r w:rsidDel="00000000" w:rsidR="00000000" w:rsidRPr="00000000">
              <w:rPr>
                <w:rtl w:val="0"/>
              </w:rPr>
              <w:t xml:space="preserve"> </w:t>
            </w:r>
          </w:p>
          <w:p w:rsidR="00000000" w:rsidDel="00000000" w:rsidP="00000000" w:rsidRDefault="00000000" w:rsidRPr="00000000" w14:paraId="00000081">
            <w:pPr>
              <w:widowControl w:val="0"/>
              <w:numPr>
                <w:ilvl w:val="0"/>
                <w:numId w:val="5"/>
              </w:numPr>
              <w:ind w:left="360"/>
              <w:jc w:val="both"/>
              <w:rPr>
                <w:u w:val="none"/>
              </w:rPr>
            </w:pPr>
            <w:r w:rsidDel="00000000" w:rsidR="00000000" w:rsidRPr="00000000">
              <w:rPr>
                <w:rtl w:val="0"/>
              </w:rPr>
              <w:t xml:space="preserve">In this section, we hear of the desperate state of the people of Israel under siege in Jerusalem.  The most tragic result is: “I will turn my face from them” - the glorious presence of God among his people is the source of all his blessings; his departure is the cause of all their calamities and punishment.  Similar calamities and punishment befell them just before the Temple’s destruction by the Romans.  In Scripture, the glorious presence of God, “Shekinah”, is the holiest place.  The Lord’s  purpose of punishment: “they shall know that I am the Lord”. </w:t>
            </w:r>
          </w:p>
        </w:tc>
        <w:tc>
          <w:tcPr>
            <w:shd w:fill="auto" w:val="clear"/>
          </w:tcPr>
          <w:p w:rsidR="00000000" w:rsidDel="00000000" w:rsidP="00000000" w:rsidRDefault="00000000" w:rsidRPr="00000000" w14:paraId="00000082">
            <w:pPr>
              <w:rPr/>
            </w:pPr>
            <w:r w:rsidDel="00000000" w:rsidR="00000000" w:rsidRPr="00000000">
              <w:rPr>
                <w:rtl w:val="0"/>
              </w:rPr>
              <w:t xml:space="preserve">7:1-27</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CCSS p 71</w:t>
            </w:r>
          </w:p>
          <w:p w:rsidR="00000000" w:rsidDel="00000000" w:rsidP="00000000" w:rsidRDefault="00000000" w:rsidRPr="00000000" w14:paraId="00000085">
            <w:pPr>
              <w:rPr/>
            </w:pPr>
            <w:r w:rsidDel="00000000" w:rsidR="00000000" w:rsidRPr="00000000">
              <w:rPr>
                <w:rtl w:val="0"/>
              </w:rPr>
              <w:t xml:space="preserve">3:17-21</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7:2:10</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Mt 24</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7:10-13 CCSS</w:t>
            </w:r>
          </w:p>
          <w:p w:rsidR="00000000" w:rsidDel="00000000" w:rsidP="00000000" w:rsidRDefault="00000000" w:rsidRPr="00000000" w14:paraId="0000008F">
            <w:pPr>
              <w:rPr/>
            </w:pPr>
            <w:r w:rsidDel="00000000" w:rsidR="00000000" w:rsidRPr="00000000">
              <w:rPr>
                <w:rtl w:val="0"/>
              </w:rPr>
              <w:t xml:space="preserve">1Cor 7:30</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7:14-27 CCSS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SN1</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SN2</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c>
      </w:tr>
    </w:tbl>
    <w:p w:rsidR="00000000" w:rsidDel="00000000" w:rsidP="00000000" w:rsidRDefault="00000000" w:rsidRPr="00000000" w14:paraId="0000009E">
      <w:pPr>
        <w:widowControl w:val="0"/>
        <w:jc w:val="both"/>
        <w:rPr/>
      </w:pPr>
      <w:r w:rsidDel="00000000" w:rsidR="00000000" w:rsidRPr="00000000">
        <w:rPr>
          <w:rtl w:val="0"/>
        </w:rPr>
      </w:r>
    </w:p>
    <w:p w:rsidR="00000000" w:rsidDel="00000000" w:rsidP="00000000" w:rsidRDefault="00000000" w:rsidRPr="00000000" w14:paraId="0000009F">
      <w:pPr>
        <w:widowControl w:val="0"/>
        <w:jc w:val="both"/>
        <w:rPr/>
      </w:pPr>
      <w:r w:rsidDel="00000000" w:rsidR="00000000" w:rsidRPr="00000000">
        <w:rPr>
          <w:rtl w:val="0"/>
        </w:rPr>
      </w:r>
    </w:p>
    <w:p w:rsidR="00000000" w:rsidDel="00000000" w:rsidP="00000000" w:rsidRDefault="00000000" w:rsidRPr="00000000" w14:paraId="000000A0">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widowControl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SPECIAL NOTES</w:t>
      </w:r>
    </w:p>
    <w:p w:rsidR="00000000" w:rsidDel="00000000" w:rsidP="00000000" w:rsidRDefault="00000000" w:rsidRPr="00000000" w14:paraId="000000A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Pope Benedict XVI’s account of God deserting His house in A.D. 66</w:t>
      </w:r>
    </w:p>
    <w:p w:rsidR="00000000" w:rsidDel="00000000" w:rsidP="00000000" w:rsidRDefault="00000000" w:rsidRPr="00000000" w14:paraId="000000A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event took place at Pentecost in A.D. 66. “At the Feast of Pentecost, when the priests had gone into the inner court of the Temple at night to perform the usual ceremonies, they declared that they were aware, first of a violent movement and a loud crash, then of a concerted cry: ‘Let us go hence’” (</w:t>
      </w:r>
      <w:r w:rsidDel="00000000" w:rsidR="00000000" w:rsidRPr="00000000">
        <w:rPr>
          <w:rFonts w:ascii="Calibri" w:cs="Calibri" w:eastAsia="Calibri" w:hAnsi="Calibri"/>
          <w:i w:val="1"/>
          <w:rtl w:val="0"/>
        </w:rPr>
        <w:t xml:space="preserve">The Jewish War</w:t>
      </w:r>
      <w:r w:rsidDel="00000000" w:rsidR="00000000" w:rsidRPr="00000000">
        <w:rPr>
          <w:rFonts w:ascii="Calibri" w:cs="Calibri" w:eastAsia="Calibri" w:hAnsi="Calibri"/>
          <w:rtl w:val="0"/>
        </w:rPr>
        <w:t xml:space="preserve">, p.361). Whatever exactly may have happened, one thing is clear: in the final years before the dramatic events of the year 70…God himself is announcing (“Let us go hence!”) that he is to depart from the Temple, to leave it “empty”. (</w:t>
      </w:r>
      <w:r w:rsidDel="00000000" w:rsidR="00000000" w:rsidRPr="00000000">
        <w:rPr>
          <w:rFonts w:ascii="Calibri" w:cs="Calibri" w:eastAsia="Calibri" w:hAnsi="Calibri"/>
          <w:i w:val="1"/>
          <w:rtl w:val="0"/>
        </w:rPr>
        <w:t xml:space="preserve">Jesus of Nazareth</w:t>
      </w:r>
      <w:r w:rsidDel="00000000" w:rsidR="00000000" w:rsidRPr="00000000">
        <w:rPr>
          <w:rFonts w:ascii="Calibri" w:cs="Calibri" w:eastAsia="Calibri" w:hAnsi="Calibri"/>
          <w:rtl w:val="0"/>
        </w:rPr>
        <w:t xml:space="preserve">, II, p. 26)</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“Shekinah” in Scripture:</w:t>
      </w:r>
    </w:p>
    <w:p w:rsidR="00000000" w:rsidDel="00000000" w:rsidP="00000000" w:rsidRDefault="00000000" w:rsidRPr="00000000" w14:paraId="000000A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The biblical text of Ezekiel 7:22 reads, “I will turn my face from them”; but the Targum of Ezekiel - an earlier Aramaic translation - rephrases this: “And I will make my Shekinah depart from them”.  (CCSS p 74)</w:t>
      </w:r>
    </w:p>
    <w:p w:rsidR="00000000" w:rsidDel="00000000" w:rsidP="00000000" w:rsidRDefault="00000000" w:rsidRPr="00000000" w14:paraId="000000B0">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God’s glorious presence,“Shekinah”, throughout scripture  (Source: Bertrand Buby, Mary of Galilee II, Woman of Israel – Daughter of Zion, p.15):</w:t>
      </w:r>
    </w:p>
    <w:p w:rsidR="00000000" w:rsidDel="00000000" w:rsidP="00000000" w:rsidRDefault="00000000" w:rsidRPr="00000000" w14:paraId="000000B2">
      <w:pPr>
        <w:numPr>
          <w:ilvl w:val="0"/>
          <w:numId w:val="2"/>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Mt Sinai - God established a Covenant with Israel (Ex 24:16)</w:t>
      </w:r>
    </w:p>
    <w:p w:rsidR="00000000" w:rsidDel="00000000" w:rsidP="00000000" w:rsidRDefault="00000000" w:rsidRPr="00000000" w14:paraId="000000B3">
      <w:pPr>
        <w:numPr>
          <w:ilvl w:val="0"/>
          <w:numId w:val="2"/>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Tabernacle - standing inside the completed tent (Ex 40:34-35)</w:t>
      </w:r>
    </w:p>
    <w:p w:rsidR="00000000" w:rsidDel="00000000" w:rsidP="00000000" w:rsidRDefault="00000000" w:rsidRPr="00000000" w14:paraId="000000B4">
      <w:pPr>
        <w:numPr>
          <w:ilvl w:val="0"/>
          <w:numId w:val="2"/>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Temple - when Solomon completed the Temple, the Tabernacle was placed in the Temple (1Kg 8:10-13)</w:t>
      </w:r>
    </w:p>
    <w:p w:rsidR="00000000" w:rsidDel="00000000" w:rsidP="00000000" w:rsidRDefault="00000000" w:rsidRPr="00000000" w14:paraId="000000B5">
      <w:pPr>
        <w:numPr>
          <w:ilvl w:val="0"/>
          <w:numId w:val="2"/>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Throughout the Old Testament, God’s glory filled / sheltered (“episkiazein” Gk) the tent and the Temple.  Under the inspiration of the Holy Spirit, Luk used the same wording (“episkiazein” GK).  In the Annunciation, the angel said to Mary, “The Holy Spirit will … overshadow you”, so that she will be pregnant and give birth to the Son of God, Jesus (Lk 1:35).  In other words, she is the Tabernacle (cf. Lk 1:39-56) where God’s glory is present; intricately connected to the tent and the Temple - the Church.  </w:t>
      </w:r>
    </w:p>
    <w:p w:rsidR="00000000" w:rsidDel="00000000" w:rsidP="00000000" w:rsidRDefault="00000000" w:rsidRPr="00000000" w14:paraId="000000B6">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tl w:val="0"/>
        </w:rPr>
      </w:r>
    </w:p>
    <w:sectPr>
      <w:headerReference r:id="rId6" w:type="default"/>
      <w:footerReference r:id="rId7" w:type="default"/>
      <w:footerReference r:id="rId8" w:type="even"/>
      <w:pgSz w:h="15840" w:w="12240" w:orient="portrait"/>
      <w:pgMar w:bottom="1440" w:top="1440"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Chinese Martyrs Catholic Church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3446145</wp:posOffset>
              </wp:positionH>
              <wp:positionV relativeFrom="paragraph">
                <wp:posOffset>-268604</wp:posOffset>
              </wp:positionV>
              <wp:extent cx="2619375" cy="771525"/>
              <wp:effectExtent b="0" l="0" r="0" t="0"/>
              <wp:wrapNone/>
              <wp:docPr id="1" name=""/>
              <a:graphic>
                <a:graphicData uri="http://schemas.microsoft.com/office/word/2010/wordprocessingShape">
                  <wps:wsp>
                    <wps:cNvSpPr/>
                    <wps:cNvPr id="2" name="Shape 2"/>
                    <wps:spPr>
                      <a:xfrm>
                        <a:off x="3974400" y="3265650"/>
                        <a:ext cx="2743200" cy="73260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CCSS = Cath Commentary on Sacred Scriptures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SK = See Ko Chinese Bible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NAB = New American Bible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SN = Special Notes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3446145</wp:posOffset>
              </wp:positionH>
              <wp:positionV relativeFrom="paragraph">
                <wp:posOffset>-268604</wp:posOffset>
              </wp:positionV>
              <wp:extent cx="2619375" cy="7715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619375" cy="771525"/>
                      </a:xfrm>
                      <a:prstGeom prst="rect"/>
                      <a:ln/>
                    </pic:spPr>
                  </pic:pic>
                </a:graphicData>
              </a:graphic>
            </wp:anchor>
          </w:drawing>
        </mc:Fallback>
      </mc:AlternateConten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Bible Sharing Program 202</w:t>
    </w:r>
    <w:r w:rsidDel="00000000" w:rsidR="00000000" w:rsidRPr="00000000">
      <w:rPr>
        <w:rFonts w:ascii="Arial" w:cs="Arial" w:eastAsia="Arial" w:hAnsi="Arial"/>
        <w:b w:val="1"/>
        <w:sz w:val="20"/>
        <w:szCs w:val="20"/>
        <w:rtl w:val="0"/>
      </w:rPr>
      <w:t xml:space="preserve">5-2027</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Session #</w:t>
    </w:r>
    <w:r w:rsidDel="00000000" w:rsidR="00000000" w:rsidRPr="00000000">
      <w:rPr>
        <w:rFonts w:ascii="Arial" w:cs="Arial" w:eastAsia="Arial" w:hAnsi="Arial"/>
        <w:b w:val="1"/>
        <w:sz w:val="20"/>
        <w:szCs w:val="20"/>
        <w:rtl w:val="0"/>
      </w:rPr>
      <w:t xml:space="preserve">5: Judgement on Judah and Jerusalem</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(4:1 - 7:27)</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432" w:hanging="360"/>
      </w:pPr>
      <w:rPr>
        <w:rFonts w:ascii="Noto Sans Symbols" w:cs="Noto Sans Symbols" w:eastAsia="Noto Sans Symbols" w:hAnsi="Noto Sans Symbols"/>
      </w:rPr>
    </w:lvl>
    <w:lvl w:ilvl="1">
      <w:start w:val="1"/>
      <w:numFmt w:val="bullet"/>
      <w:lvlText w:val="o"/>
      <w:lvlJc w:val="left"/>
      <w:pPr>
        <w:ind w:left="1152" w:hanging="360"/>
      </w:pPr>
      <w:rPr>
        <w:rFonts w:ascii="Courier New" w:cs="Courier New" w:eastAsia="Courier New" w:hAnsi="Courier New"/>
      </w:rPr>
    </w:lvl>
    <w:lvl w:ilvl="2">
      <w:start w:val="1"/>
      <w:numFmt w:val="bullet"/>
      <w:lvlText w:val="▪"/>
      <w:lvlJc w:val="left"/>
      <w:pPr>
        <w:ind w:left="1872" w:hanging="360"/>
      </w:pPr>
      <w:rPr>
        <w:rFonts w:ascii="Noto Sans Symbols" w:cs="Noto Sans Symbols" w:eastAsia="Noto Sans Symbols" w:hAnsi="Noto Sans Symbols"/>
      </w:rPr>
    </w:lvl>
    <w:lvl w:ilvl="3">
      <w:start w:val="1"/>
      <w:numFmt w:val="bullet"/>
      <w:lvlText w:val="●"/>
      <w:lvlJc w:val="left"/>
      <w:pPr>
        <w:ind w:left="2592" w:hanging="360"/>
      </w:pPr>
      <w:rPr>
        <w:rFonts w:ascii="Noto Sans Symbols" w:cs="Noto Sans Symbols" w:eastAsia="Noto Sans Symbols" w:hAnsi="Noto Sans Symbols"/>
      </w:rPr>
    </w:lvl>
    <w:lvl w:ilvl="4">
      <w:start w:val="1"/>
      <w:numFmt w:val="bullet"/>
      <w:lvlText w:val="o"/>
      <w:lvlJc w:val="left"/>
      <w:pPr>
        <w:ind w:left="3312" w:hanging="360"/>
      </w:pPr>
      <w:rPr>
        <w:rFonts w:ascii="Courier New" w:cs="Courier New" w:eastAsia="Courier New" w:hAnsi="Courier New"/>
      </w:rPr>
    </w:lvl>
    <w:lvl w:ilvl="5">
      <w:start w:val="1"/>
      <w:numFmt w:val="bullet"/>
      <w:lvlText w:val="▪"/>
      <w:lvlJc w:val="left"/>
      <w:pPr>
        <w:ind w:left="4032" w:hanging="360"/>
      </w:pPr>
      <w:rPr>
        <w:rFonts w:ascii="Noto Sans Symbols" w:cs="Noto Sans Symbols" w:eastAsia="Noto Sans Symbols" w:hAnsi="Noto Sans Symbols"/>
      </w:rPr>
    </w:lvl>
    <w:lvl w:ilvl="6">
      <w:start w:val="1"/>
      <w:numFmt w:val="bullet"/>
      <w:lvlText w:val="●"/>
      <w:lvlJc w:val="left"/>
      <w:pPr>
        <w:ind w:left="4752" w:hanging="360"/>
      </w:pPr>
      <w:rPr>
        <w:rFonts w:ascii="Noto Sans Symbols" w:cs="Noto Sans Symbols" w:eastAsia="Noto Sans Symbols" w:hAnsi="Noto Sans Symbols"/>
      </w:rPr>
    </w:lvl>
    <w:lvl w:ilvl="7">
      <w:start w:val="1"/>
      <w:numFmt w:val="bullet"/>
      <w:lvlText w:val="o"/>
      <w:lvlJc w:val="left"/>
      <w:pPr>
        <w:ind w:left="5472" w:hanging="360"/>
      </w:pPr>
      <w:rPr>
        <w:rFonts w:ascii="Courier New" w:cs="Courier New" w:eastAsia="Courier New" w:hAnsi="Courier New"/>
      </w:rPr>
    </w:lvl>
    <w:lvl w:ilvl="8">
      <w:start w:val="1"/>
      <w:numFmt w:val="bullet"/>
      <w:lvlText w:val="▪"/>
      <w:lvlJc w:val="left"/>
      <w:pPr>
        <w:ind w:left="6192"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000000"/>
    </w:rPr>
    <w:tblPr>
      <w:tblStyleRowBandSize w:val="1"/>
      <w:tblStyleColBandSize w:val="1"/>
      <w:tblCellMar>
        <w:top w:w="100.0" w:type="dxa"/>
        <w:left w:w="100.0" w:type="dxa"/>
        <w:bottom w:w="100.0" w:type="dxa"/>
        <w:right w:w="100.0" w:type="dxa"/>
      </w:tblCellMar>
    </w:tblPr>
    <w:tcPr>
      <w:shd w:fill="fde5d1"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